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tLeast"/>
        <w:rPr>
          <w:rFonts w:ascii="仿宋" w:hAnsi="仿宋" w:eastAsia="仿宋"/>
          <w:color w:val="000000" w:themeColor="text1"/>
          <w:sz w:val="30"/>
          <w:szCs w:val="30"/>
          <w14:textFill>
            <w14:solidFill>
              <w14:schemeClr w14:val="tx1"/>
            </w14:solidFill>
          </w14:textFill>
        </w:rPr>
      </w:pPr>
    </w:p>
    <w:p>
      <w:pPr>
        <w:widowControl/>
        <w:shd w:val="clear" w:color="auto" w:fill="FFFFFF"/>
        <w:spacing w:line="360" w:lineRule="auto"/>
        <w:jc w:val="center"/>
        <w:outlineLvl w:val="0"/>
        <w:rPr>
          <w:rFonts w:hint="eastAsia" w:ascii="方正小标宋简体" w:hAnsi="微软雅黑" w:eastAsia="方正小标宋简体" w:cs="宋体"/>
          <w:b/>
          <w:bCs/>
          <w:color w:val="000000" w:themeColor="text1"/>
          <w:kern w:val="36"/>
          <w:sz w:val="44"/>
          <w:szCs w:val="44"/>
          <w14:textFill>
            <w14:solidFill>
              <w14:schemeClr w14:val="tx1"/>
            </w14:solidFill>
          </w14:textFill>
        </w:rPr>
      </w:pPr>
      <w:r>
        <w:rPr>
          <w:rFonts w:hint="eastAsia" w:ascii="方正小标宋简体" w:hAnsi="微软雅黑" w:eastAsia="方正小标宋简体" w:cs="宋体"/>
          <w:b/>
          <w:bCs/>
          <w:color w:val="000000" w:themeColor="text1"/>
          <w:kern w:val="36"/>
          <w:sz w:val="44"/>
          <w:szCs w:val="44"/>
          <w:lang w:val="en-US" w:eastAsia="zh-CN"/>
          <w14:textFill>
            <w14:solidFill>
              <w14:schemeClr w14:val="tx1"/>
            </w14:solidFill>
          </w14:textFill>
        </w:rPr>
        <w:t>国家级</w:t>
      </w:r>
      <w:r>
        <w:rPr>
          <w:rFonts w:hint="eastAsia" w:ascii="方正小标宋简体" w:hAnsi="微软雅黑" w:eastAsia="方正小标宋简体" w:cs="宋体"/>
          <w:b/>
          <w:bCs/>
          <w:color w:val="000000" w:themeColor="text1"/>
          <w:kern w:val="36"/>
          <w:sz w:val="44"/>
          <w:szCs w:val="44"/>
          <w14:textFill>
            <w14:solidFill>
              <w14:schemeClr w14:val="tx1"/>
            </w14:solidFill>
          </w14:textFill>
        </w:rPr>
        <w:t>高水平高职学校和专业建设标准</w:t>
      </w:r>
    </w:p>
    <w:p>
      <w:pPr>
        <w:pStyle w:val="3"/>
        <w:shd w:val="clear" w:color="auto" w:fill="FFFFFF"/>
        <w:spacing w:before="0" w:beforeAutospacing="0" w:after="0" w:afterAutospacing="0" w:line="360" w:lineRule="auto"/>
        <w:ind w:firstLine="600" w:firstLineChars="200"/>
        <w:rPr>
          <w:rFonts w:ascii="仿宋" w:hAnsi="仿宋" w:eastAsia="仿宋"/>
          <w:color w:val="000000" w:themeColor="text1"/>
          <w:sz w:val="30"/>
          <w:szCs w:val="30"/>
          <w14:textFill>
            <w14:solidFill>
              <w14:schemeClr w14:val="tx1"/>
            </w14:solidFill>
          </w14:textFill>
        </w:rPr>
      </w:pPr>
    </w:p>
    <w:p>
      <w:pPr>
        <w:pStyle w:val="3"/>
        <w:shd w:val="clear" w:color="auto" w:fill="FFFFFF"/>
        <w:spacing w:before="0" w:beforeAutospacing="0" w:after="0" w:afterAutospacing="0"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“双高计划”遴选坚持质量为先、改革导向</w:t>
      </w:r>
      <w:bookmarkStart w:id="0" w:name="_GoBack"/>
      <w:bookmarkEnd w:id="0"/>
      <w:r>
        <w:rPr>
          <w:rFonts w:hint="eastAsia" w:ascii="仿宋" w:hAnsi="仿宋" w:eastAsia="仿宋"/>
          <w:color w:val="000000" w:themeColor="text1"/>
          <w:sz w:val="30"/>
          <w:szCs w:val="30"/>
          <w14:textFill>
            <w14:solidFill>
              <w14:schemeClr w14:val="tx1"/>
            </w14:solidFill>
          </w14:textFill>
        </w:rPr>
        <w:t>、扶优扶强，面向独立设置的专科高职学校（包括社会力量举办的专科高职学校），分高水平学校和高水平专业群两类布局。在高职学校年生均财政拨款水平达到国家统一要求且逐年增长的前提下，对职业教育发展环境好、重点工作推进有力、改革成效明显、“双高计划”政策资金保障力度大的省份予以倾斜支持。</w:t>
      </w:r>
    </w:p>
    <w:p>
      <w:pPr>
        <w:pStyle w:val="3"/>
        <w:shd w:val="clear" w:color="auto" w:fill="FFFFFF"/>
        <w:spacing w:before="0" w:beforeAutospacing="0" w:after="0" w:afterAutospacing="0" w:line="360" w:lineRule="auto"/>
        <w:ind w:firstLine="602" w:firstLineChars="200"/>
        <w:rPr>
          <w:rFonts w:hint="eastAsia"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一、学校须具备的基本条件</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（一）学校办学条件高于专科高职学校设置标准，数字校园基础设施高于《职业院校数字校园建设规范》标准。</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学校人才培养和治理水平高，在产教融合、校企合作方面成效显著，对区域发展贡献度高，已取得以下工作成效：被确定为《高等职业教育创新发展行动计划（2015—2018年）》省级及以上优质高职学校建设单位；已制定学校章程并经省级备案，设有理事会或董事会机构，成立校级学术委员会，内部质量保证体系健全；财务管理规范，内部控制制度健全；牵头组建实体化运行的职业教育集团，合作企业对学校支持投入力度大；成立应用技术协同创新中心、技能大师工作室；非学历培训人日数不低于全日制在校生数；近三年招生计划完成率不低于90%，毕业生半年后就业率不低于95%；配合“走出去”企业开展员工教育培训、有教育部备案的中外合作办学项目或招收学历教育留学生。</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（三）学校坚持职业教育办学定位和方向，干事创业的积极性、主动性、创造性高，教育教学改革、校企合作和专业建设基础好，人才培养质量和师资队伍水平高，学生就业水平高，社会支持度高。</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（四）学校在以下9项标志性成果中有不少于5项：</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1．近两届获得过国家级教学成果奖励（第一完成单位）；</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2.主持国家级职业教育专业教学资源库立项项目且应用效果好；</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3.承担国家级教育教学改革试点且成效明显（仅包括现代学徒制试点、“三全育人”综合改革试点、教学工作诊断与改进工作试点、定向培养士官试点）；</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4.有国家级重点专业（仅包括国家示范、骨干高职学校支持的重点专业）；</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5.近五年学校就业工作被评为全国就业创业典型（仅包括全国毕业生就业典型经验高校、创新创业典型经验高校、创新创业教育改革示范高校）；</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近五年学生在国家级及以上竞赛中获得过奖励（仅包括世界技能大赛、全国职业院校技能大赛、中国“互联网+”大学生创新创业大赛、“挑战杯”全国大学生课外学术科技作品竞赛和中国大学生创业计划竞赛）；</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7.教师获得过国家级奖励（仅包括“万人计划”教学名师、全国高校黄大年式团队、全国职业院校教学能力比赛获奖）；</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8.建立校级竞赛制度，近五年承办过全国职业院校技能大赛；</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9.建立校级质量年报制度，近五年连续发布《高等职业院校质量年度报告》且未有负面行为被通报。</w:t>
      </w:r>
    </w:p>
    <w:p>
      <w:pPr>
        <w:pStyle w:val="3"/>
        <w:shd w:val="clear" w:color="auto" w:fill="FFFFFF"/>
        <w:spacing w:before="0" w:beforeAutospacing="0" w:after="0" w:afterAutospacing="0"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在满足以上条件的基础上，学校近五年在招生、财务、实习、学生管理等方面未出现过重大违纪违规行为。学校未列入本省升本规划。</w:t>
      </w:r>
    </w:p>
    <w:p>
      <w:pPr>
        <w:pStyle w:val="3"/>
        <w:shd w:val="clear" w:color="auto" w:fill="FFFFFF"/>
        <w:spacing w:before="0" w:beforeAutospacing="0" w:after="0" w:afterAutospacing="0" w:line="360" w:lineRule="auto"/>
        <w:ind w:firstLine="602" w:firstLineChars="200"/>
        <w:rPr>
          <w:rFonts w:hint="eastAsia"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二、专业群须具备的基本条件</w:t>
      </w:r>
    </w:p>
    <w:p>
      <w:pPr>
        <w:pStyle w:val="3"/>
        <w:shd w:val="clear" w:color="auto" w:fill="FFFFFF"/>
        <w:spacing w:before="0" w:beforeAutospacing="0" w:after="0" w:afterAutospacing="0" w:line="360" w:lineRule="auto"/>
        <w:ind w:firstLine="600"/>
        <w:rPr>
          <w:rFonts w:ascii="仿宋" w:hAnsi="仿宋" w:eastAsia="仿宋"/>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（一）专业群定位准确，对接国家和区域主导产业、支柱产业和战略性新兴产业重点领域。</w:t>
      </w:r>
    </w:p>
    <w:p>
      <w:pPr>
        <w:pStyle w:val="3"/>
        <w:shd w:val="clear" w:color="auto" w:fill="FFFFFF"/>
        <w:spacing w:before="0" w:beforeAutospacing="0" w:after="0" w:afterAutospacing="0" w:line="360" w:lineRule="auto"/>
        <w:ind w:firstLine="6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专业群组建逻辑清晰，群内专业教学资源共享度、就业相关度较高，形成优势互补、协同发展的建设机制。专业特色鲜明，行业优势明显，有较强社会影响力。</w:t>
      </w:r>
    </w:p>
    <w:p>
      <w:pPr>
        <w:pStyle w:val="3"/>
        <w:shd w:val="clear" w:color="auto" w:fill="FFFFFF"/>
        <w:spacing w:before="0" w:beforeAutospacing="0" w:after="0" w:afterAutospacing="0" w:line="360" w:lineRule="auto"/>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（二）专业群有高水平专业带头人和教学创新团队，校外兼职教师素质优良。</w:t>
      </w:r>
    </w:p>
    <w:p>
      <w:pPr>
        <w:pStyle w:val="3"/>
        <w:shd w:val="clear" w:color="auto" w:fill="FFFFFF"/>
        <w:spacing w:before="0" w:beforeAutospacing="0" w:after="0" w:afterAutospacing="0" w:line="360" w:lineRule="auto"/>
        <w:ind w:firstLine="6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实践教学基地设施先进、管理规范，基地建设与实践教学项目设计相适应、相配套。校企共同设计科学规范的专业群课程体系，反映行业领域的新技术、新工艺、新规范，信息技术深度融入教育教学，线上线下课程资源丰富。</w:t>
      </w:r>
    </w:p>
    <w:p>
      <w:pPr>
        <w:pStyle w:val="3"/>
        <w:shd w:val="clear" w:color="auto" w:fill="FFFFFF"/>
        <w:spacing w:before="0" w:beforeAutospacing="0" w:after="0" w:afterAutospacing="0" w:line="360" w:lineRule="auto"/>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（三）专业群生源质量好，保持一定办学规模。</w:t>
      </w:r>
    </w:p>
    <w:p>
      <w:pPr>
        <w:pStyle w:val="3"/>
        <w:shd w:val="clear" w:color="auto" w:fill="FFFFFF"/>
        <w:spacing w:before="0" w:beforeAutospacing="0" w:after="0" w:afterAutospacing="0" w:line="360" w:lineRule="auto"/>
        <w:ind w:firstLine="6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建立毕业生就业跟踪调查机制，学生就业对口率、用人单位满意度、学生就业满意度高。与行业企业深入合作开展科技研发应用，科研项目、专利数量多。</w:t>
      </w:r>
    </w:p>
    <w:p>
      <w:pPr>
        <w:rPr>
          <w:color w:val="000000" w:themeColor="text1"/>
          <w14:textFill>
            <w14:solidFill>
              <w14:schemeClr w14:val="tx1"/>
            </w14:solidFill>
          </w14:textFill>
        </w:rPr>
      </w:pPr>
    </w:p>
    <w:sectPr>
      <w:type w:val="continuous"/>
      <w:pgSz w:w="11906" w:h="16838"/>
      <w:pgMar w:top="1089" w:right="1469" w:bottom="777" w:left="125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53"/>
    <w:rsid w:val="001F4153"/>
    <w:rsid w:val="005D0F81"/>
    <w:rsid w:val="00B4740F"/>
    <w:rsid w:val="00DD69AA"/>
    <w:rsid w:val="4401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1308</Characters>
  <Lines>10</Lines>
  <Paragraphs>3</Paragraphs>
  <TotalTime>8</TotalTime>
  <ScaleCrop>false</ScaleCrop>
  <LinksUpToDate>false</LinksUpToDate>
  <CharactersWithSpaces>1534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2020-04-26T15:11:00Z</dcterms:created>
  <dc:creator> </dc:creator>
  <cp:lastModifiedBy>空气</cp:lastModifiedBy>
  <dcterms:modified xsi:type="dcterms:W3CDTF">2020-05-07T02:26:23Z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